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45" w:rsidRPr="00773C2F" w:rsidRDefault="0060718E">
      <w:pPr>
        <w:rPr>
          <w:b/>
          <w:sz w:val="24"/>
          <w:szCs w:val="24"/>
        </w:rPr>
      </w:pPr>
      <w:r w:rsidRPr="00773C2F">
        <w:rPr>
          <w:b/>
          <w:sz w:val="24"/>
          <w:szCs w:val="24"/>
        </w:rPr>
        <w:t xml:space="preserve">How Do We Understand Trust? </w:t>
      </w:r>
    </w:p>
    <w:p w:rsidR="0060718E" w:rsidRPr="00773C2F" w:rsidRDefault="0060718E" w:rsidP="0060718E">
      <w:pPr>
        <w:rPr>
          <w:sz w:val="24"/>
          <w:szCs w:val="24"/>
        </w:rPr>
      </w:pPr>
      <w:r w:rsidRPr="00773C2F">
        <w:rPr>
          <w:bCs/>
          <w:i/>
          <w:iCs/>
          <w:sz w:val="24"/>
          <w:szCs w:val="24"/>
          <w:lang w:val="en-US"/>
        </w:rPr>
        <w:t>Theatre, AI and ‘Ludic Technologies‘</w:t>
      </w:r>
      <w:r w:rsidRPr="00773C2F">
        <w:rPr>
          <w:sz w:val="24"/>
          <w:szCs w:val="24"/>
        </w:rPr>
        <w:t xml:space="preserve">: </w:t>
      </w:r>
      <w:r w:rsidRPr="00773C2F">
        <w:rPr>
          <w:bCs/>
          <w:i/>
          <w:iCs/>
          <w:sz w:val="24"/>
          <w:szCs w:val="24"/>
          <w:lang w:val="en-US"/>
        </w:rPr>
        <w:t>Humanist Perspectives</w:t>
      </w:r>
    </w:p>
    <w:p w:rsidR="0060718E" w:rsidRPr="00773C2F" w:rsidRDefault="0060718E">
      <w:pPr>
        <w:rPr>
          <w:sz w:val="24"/>
          <w:szCs w:val="24"/>
        </w:rPr>
      </w:pPr>
      <w:r w:rsidRPr="00773C2F">
        <w:rPr>
          <w:i/>
          <w:iCs/>
          <w:sz w:val="24"/>
          <w:szCs w:val="24"/>
          <w:lang w:val="en-US"/>
        </w:rPr>
        <w:t>9</w:t>
      </w:r>
      <w:r w:rsidRPr="00773C2F">
        <w:rPr>
          <w:i/>
          <w:iCs/>
          <w:sz w:val="24"/>
          <w:szCs w:val="24"/>
          <w:vertAlign w:val="superscript"/>
          <w:lang w:val="en-US"/>
        </w:rPr>
        <w:t>th</w:t>
      </w:r>
      <w:r w:rsidRPr="00773C2F">
        <w:rPr>
          <w:i/>
          <w:iCs/>
          <w:sz w:val="24"/>
          <w:szCs w:val="24"/>
          <w:lang w:val="en-US"/>
        </w:rPr>
        <w:t xml:space="preserve"> April , 2021</w:t>
      </w:r>
    </w:p>
    <w:p w:rsidR="0060718E" w:rsidRPr="00773C2F" w:rsidRDefault="0060718E" w:rsidP="0060718E">
      <w:pPr>
        <w:rPr>
          <w:sz w:val="24"/>
          <w:szCs w:val="24"/>
        </w:rPr>
      </w:pPr>
      <w:r w:rsidRPr="00773C2F">
        <w:rPr>
          <w:sz w:val="24"/>
          <w:szCs w:val="24"/>
        </w:rPr>
        <w:t>Thales has a breadth of experience across a number of domains, including space, maritime, rail and avionics. We’</w:t>
      </w:r>
      <w:bookmarkStart w:id="0" w:name="_GoBack"/>
      <w:bookmarkEnd w:id="0"/>
      <w:r w:rsidRPr="00773C2F">
        <w:rPr>
          <w:sz w:val="24"/>
          <w:szCs w:val="24"/>
        </w:rPr>
        <w:t xml:space="preserve">re currently working on a framework for trust that is applicable across these domains, with the aim of better understanding the impact that trust has on human-computer interaction, and the importance of designing and engineering systems with trust in mind. </w:t>
      </w:r>
      <w:r w:rsidRPr="00773C2F">
        <w:rPr>
          <w:sz w:val="24"/>
          <w:szCs w:val="24"/>
        </w:rPr>
        <w:t>O</w:t>
      </w:r>
      <w:r w:rsidRPr="00773C2F">
        <w:rPr>
          <w:sz w:val="24"/>
          <w:szCs w:val="24"/>
        </w:rPr>
        <w:t xml:space="preserve">ur objective for a multi-disciplinary workshop </w:t>
      </w:r>
      <w:r w:rsidRPr="00773C2F">
        <w:rPr>
          <w:sz w:val="24"/>
          <w:szCs w:val="24"/>
        </w:rPr>
        <w:t>was</w:t>
      </w:r>
      <w:r w:rsidRPr="00773C2F">
        <w:rPr>
          <w:sz w:val="24"/>
          <w:szCs w:val="24"/>
        </w:rPr>
        <w:t xml:space="preserve"> to go further than writing and distributing user requirements to </w:t>
      </w:r>
      <w:r w:rsidRPr="00773C2F">
        <w:rPr>
          <w:b/>
          <w:sz w:val="24"/>
          <w:szCs w:val="24"/>
        </w:rPr>
        <w:t>explore</w:t>
      </w:r>
      <w:r w:rsidRPr="00773C2F">
        <w:rPr>
          <w:sz w:val="24"/>
          <w:szCs w:val="24"/>
        </w:rPr>
        <w:t xml:space="preserve"> </w:t>
      </w:r>
      <w:r w:rsidRPr="00773C2F">
        <w:rPr>
          <w:b/>
          <w:sz w:val="24"/>
          <w:szCs w:val="24"/>
        </w:rPr>
        <w:t>creative approaches for better understanding of trust, designing for trust and communicating the importance of designing for trust</w:t>
      </w:r>
      <w:r w:rsidRPr="00773C2F">
        <w:rPr>
          <w:sz w:val="24"/>
          <w:szCs w:val="24"/>
        </w:rPr>
        <w:t xml:space="preserve">. </w:t>
      </w:r>
      <w:r w:rsidRPr="00773C2F">
        <w:rPr>
          <w:sz w:val="24"/>
          <w:szCs w:val="24"/>
        </w:rPr>
        <w:t xml:space="preserve">In order to achieve this, the workshop we organised explored how people view and understand concepts related to trust, and how we can communicate the importance of designing for trust. </w:t>
      </w:r>
    </w:p>
    <w:p w:rsidR="0060718E" w:rsidRPr="00773C2F" w:rsidRDefault="0060718E" w:rsidP="0060718E">
      <w:pPr>
        <w:rPr>
          <w:sz w:val="24"/>
          <w:szCs w:val="24"/>
        </w:rPr>
      </w:pPr>
      <w:r w:rsidRPr="00773C2F">
        <w:rPr>
          <w:sz w:val="24"/>
          <w:szCs w:val="24"/>
        </w:rPr>
        <w:t>Our first exercise focused on the evaluation of the trustworthiness of future systems. As a team, we evaluated the possible trust issues in two hypothetical scenarios: the use of autonomous vehicles to survey seabeds and the integration of intelligent machines into the human body. From here, we moved the discussion a bit closer to home, and asked people to consider the products and services that they currently use</w:t>
      </w:r>
      <w:r w:rsidR="00773C2F" w:rsidRPr="00773C2F">
        <w:rPr>
          <w:sz w:val="24"/>
          <w:szCs w:val="24"/>
        </w:rPr>
        <w:t xml:space="preserve">, and asked the following question: </w:t>
      </w:r>
      <w:r w:rsidRPr="00773C2F">
        <w:rPr>
          <w:sz w:val="24"/>
          <w:szCs w:val="24"/>
        </w:rPr>
        <w:t xml:space="preserve">have these been designed with trust in mind? Using specific design questions around transparency, communication, and control, we evaluated the trust that we place in social media and our phones (our selected “use cases”). </w:t>
      </w:r>
    </w:p>
    <w:p w:rsidR="00773C2F" w:rsidRPr="00773C2F" w:rsidRDefault="00773C2F" w:rsidP="0060718E">
      <w:pPr>
        <w:rPr>
          <w:sz w:val="24"/>
          <w:szCs w:val="24"/>
        </w:rPr>
      </w:pPr>
      <w:r w:rsidRPr="00773C2F">
        <w:rPr>
          <w:sz w:val="24"/>
          <w:szCs w:val="24"/>
        </w:rPr>
        <w:drawing>
          <wp:anchor distT="0" distB="0" distL="114300" distR="114300" simplePos="0" relativeHeight="251658240" behindDoc="1" locked="0" layoutInCell="1" allowOverlap="1">
            <wp:simplePos x="0" y="0"/>
            <wp:positionH relativeFrom="margin">
              <wp:posOffset>3019977</wp:posOffset>
            </wp:positionH>
            <wp:positionV relativeFrom="paragraph">
              <wp:posOffset>118304</wp:posOffset>
            </wp:positionV>
            <wp:extent cx="3019425" cy="2743200"/>
            <wp:effectExtent l="0" t="0" r="9525" b="0"/>
            <wp:wrapTight wrapText="bothSides">
              <wp:wrapPolygon edited="0">
                <wp:start x="0" y="0"/>
                <wp:lineTo x="0" y="21450"/>
                <wp:lineTo x="21532" y="21450"/>
                <wp:lineTo x="21532"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19425" cy="2743200"/>
                    </a:xfrm>
                    <a:prstGeom prst="rect">
                      <a:avLst/>
                    </a:prstGeom>
                  </pic:spPr>
                </pic:pic>
              </a:graphicData>
            </a:graphic>
            <wp14:sizeRelH relativeFrom="margin">
              <wp14:pctWidth>0</wp14:pctWidth>
            </wp14:sizeRelH>
            <wp14:sizeRelV relativeFrom="margin">
              <wp14:pctHeight>0</wp14:pctHeight>
            </wp14:sizeRelV>
          </wp:anchor>
        </w:drawing>
      </w:r>
      <w:r w:rsidR="0060718E" w:rsidRPr="00773C2F">
        <w:rPr>
          <w:sz w:val="24"/>
          <w:szCs w:val="24"/>
        </w:rPr>
        <w:t xml:space="preserve">The final exercise was </w:t>
      </w:r>
      <w:r w:rsidRPr="00773C2F">
        <w:rPr>
          <w:sz w:val="24"/>
          <w:szCs w:val="24"/>
        </w:rPr>
        <w:t>reflect upon the</w:t>
      </w:r>
      <w:r w:rsidR="0060718E" w:rsidRPr="00773C2F">
        <w:rPr>
          <w:sz w:val="24"/>
          <w:szCs w:val="24"/>
        </w:rPr>
        <w:t xml:space="preserve"> concerns that were raised through the session, and the understanding we’d gathered from our discussions</w:t>
      </w:r>
      <w:r w:rsidRPr="00773C2F">
        <w:rPr>
          <w:sz w:val="24"/>
          <w:szCs w:val="24"/>
        </w:rPr>
        <w:t>, in a manner that contributed towards the development of ideas around communicating the importance of trust. We discussed our ideas for communicating trust to key stakeholders: users, designers and engineers</w:t>
      </w:r>
      <w:r>
        <w:rPr>
          <w:sz w:val="24"/>
          <w:szCs w:val="24"/>
        </w:rPr>
        <w:t xml:space="preserve"> (Figure 1)</w:t>
      </w:r>
      <w:r w:rsidRPr="00773C2F">
        <w:rPr>
          <w:sz w:val="24"/>
          <w:szCs w:val="24"/>
        </w:rPr>
        <w:t xml:space="preserve">. Through our discussions, some of the key ideas regarding  communicating the important of trust </w:t>
      </w:r>
      <w:r>
        <w:rPr>
          <w:sz w:val="24"/>
          <w:szCs w:val="24"/>
        </w:rPr>
        <w:t xml:space="preserve">that emerged included </w:t>
      </w:r>
      <w:r w:rsidRPr="00773C2F">
        <w:rPr>
          <w:sz w:val="24"/>
          <w:szCs w:val="24"/>
        </w:rPr>
        <w:t xml:space="preserve">interactive role playing scenarios, escape rooms, interactive installations and digital conversation agents. </w:t>
      </w:r>
    </w:p>
    <w:p w:rsidR="00773C2F" w:rsidRPr="00773C2F" w:rsidRDefault="00773C2F" w:rsidP="00773C2F">
      <w:pPr>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3C2F">
        <w:rPr>
          <w:i/>
          <w:sz w:val="18"/>
          <w:szCs w:val="18"/>
        </w:rPr>
        <w:t xml:space="preserve">Figure 1. Exercise 3 on our Miro board. </w:t>
      </w:r>
    </w:p>
    <w:p w:rsidR="00773C2F" w:rsidRPr="00773C2F" w:rsidRDefault="00773C2F" w:rsidP="00773C2F">
      <w:pPr>
        <w:rPr>
          <w:sz w:val="24"/>
          <w:szCs w:val="24"/>
        </w:rPr>
      </w:pPr>
      <w:r w:rsidRPr="00773C2F">
        <w:rPr>
          <w:sz w:val="24"/>
          <w:szCs w:val="24"/>
        </w:rPr>
        <w:t xml:space="preserve">Following on from the workshop, our aim is to use the ideas explored around trust concerns to inform our future research in the area. </w:t>
      </w:r>
      <w:r>
        <w:rPr>
          <w:sz w:val="24"/>
          <w:szCs w:val="24"/>
        </w:rPr>
        <w:t>Ideally</w:t>
      </w:r>
      <w:r w:rsidRPr="00773C2F">
        <w:rPr>
          <w:sz w:val="24"/>
          <w:szCs w:val="24"/>
        </w:rPr>
        <w:t xml:space="preserve">, Thales would like to explore the development of public engagement activities based on some of the ideas suggested. </w:t>
      </w:r>
    </w:p>
    <w:sectPr w:rsidR="00773C2F" w:rsidRPr="00773C2F" w:rsidSect="00773C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2F" w:rsidRDefault="00773C2F" w:rsidP="00773C2F">
      <w:pPr>
        <w:spacing w:after="0" w:line="240" w:lineRule="auto"/>
      </w:pPr>
      <w:r>
        <w:separator/>
      </w:r>
    </w:p>
  </w:endnote>
  <w:endnote w:type="continuationSeparator" w:id="0">
    <w:p w:rsidR="00773C2F" w:rsidRDefault="00773C2F" w:rsidP="0077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A5" w:rsidRDefault="001A38A5" w:rsidP="001A38A5">
    <w:pPr>
      <w:pStyle w:val="Footer"/>
      <w:jc w:val="center"/>
      <w:rPr>
        <w:rFonts w:ascii="Arial" w:hAnsi="Arial" w:cs="Arial"/>
        <w:color w:val="000000"/>
        <w:sz w:val="20"/>
      </w:rPr>
    </w:pPr>
    <w:bookmarkStart w:id="3" w:name="TITUS1FooterEvenPages"/>
    <w:r>
      <w:rPr>
        <w:rFonts w:ascii="Arial" w:hAnsi="Arial" w:cs="Arial"/>
        <w:color w:val="000000"/>
        <w:sz w:val="20"/>
      </w:rPr>
      <w:t>THALES GROUP INTERNAL</w:t>
    </w:r>
  </w:p>
  <w:p w:rsidR="00773C2F" w:rsidRDefault="001A38A5" w:rsidP="001A38A5">
    <w:pPr>
      <w:pStyle w:val="Footer"/>
      <w:jc w:val="center"/>
      <w:rPr>
        <w:rFonts w:ascii="Arial" w:hAnsi="Arial" w:cs="Arial"/>
        <w:color w:val="000000"/>
        <w:sz w:val="20"/>
      </w:rPr>
    </w:pPr>
    <w:r>
      <w:rPr>
        <w:rFonts w:ascii="Arial" w:hAnsi="Arial" w:cs="Arial"/>
        <w:color w:val="000000"/>
        <w:sz w:val="20"/>
      </w:rPr>
      <w:t> </w:t>
    </w:r>
  </w:p>
  <w:bookmarkEnd w:id="3"/>
  <w:p w:rsidR="00773C2F" w:rsidRDefault="00773C2F" w:rsidP="00773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A5" w:rsidRDefault="001A38A5" w:rsidP="001A38A5">
    <w:pPr>
      <w:pStyle w:val="Footer"/>
      <w:jc w:val="center"/>
      <w:rPr>
        <w:rFonts w:ascii="Arial" w:hAnsi="Arial" w:cs="Arial"/>
        <w:color w:val="000000"/>
        <w:sz w:val="20"/>
      </w:rPr>
    </w:pPr>
    <w:bookmarkStart w:id="4" w:name="TITUS1FooterPrimary"/>
    <w:r>
      <w:rPr>
        <w:rFonts w:ascii="Arial" w:hAnsi="Arial" w:cs="Arial"/>
        <w:color w:val="000000"/>
        <w:sz w:val="20"/>
      </w:rPr>
      <w:t>THALES GROUP INTERNAL</w:t>
    </w:r>
  </w:p>
  <w:p w:rsidR="00773C2F" w:rsidRDefault="001A38A5" w:rsidP="001A38A5">
    <w:pPr>
      <w:pStyle w:val="Footer"/>
      <w:jc w:val="center"/>
      <w:rPr>
        <w:rFonts w:ascii="Arial" w:hAnsi="Arial" w:cs="Arial"/>
        <w:color w:val="000000"/>
        <w:sz w:val="20"/>
      </w:rPr>
    </w:pPr>
    <w:r>
      <w:rPr>
        <w:rFonts w:ascii="Arial" w:hAnsi="Arial" w:cs="Arial"/>
        <w:color w:val="000000"/>
        <w:sz w:val="20"/>
      </w:rPr>
      <w:t> </w:t>
    </w:r>
  </w:p>
  <w:bookmarkEnd w:id="4"/>
  <w:p w:rsidR="00773C2F" w:rsidRDefault="00773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A5" w:rsidRDefault="001A38A5" w:rsidP="001A38A5">
    <w:pPr>
      <w:pStyle w:val="Footer"/>
      <w:jc w:val="center"/>
      <w:rPr>
        <w:rFonts w:ascii="Arial" w:hAnsi="Arial" w:cs="Arial"/>
        <w:color w:val="000000"/>
        <w:sz w:val="20"/>
      </w:rPr>
    </w:pPr>
    <w:bookmarkStart w:id="6" w:name="TITUS1FooterFirstPage"/>
    <w:r>
      <w:rPr>
        <w:rFonts w:ascii="Arial" w:hAnsi="Arial" w:cs="Arial"/>
        <w:color w:val="000000"/>
        <w:sz w:val="20"/>
      </w:rPr>
      <w:t>THALES GROUP INTERNAL</w:t>
    </w:r>
  </w:p>
  <w:p w:rsidR="00773C2F" w:rsidRDefault="001A38A5" w:rsidP="001A38A5">
    <w:pPr>
      <w:pStyle w:val="Footer"/>
      <w:jc w:val="center"/>
      <w:rPr>
        <w:rFonts w:ascii="Arial" w:hAnsi="Arial" w:cs="Arial"/>
        <w:color w:val="000000"/>
        <w:sz w:val="20"/>
      </w:rPr>
    </w:pPr>
    <w:r>
      <w:rPr>
        <w:rFonts w:ascii="Arial" w:hAnsi="Arial" w:cs="Arial"/>
        <w:color w:val="000000"/>
        <w:sz w:val="20"/>
      </w:rPr>
      <w:t> </w:t>
    </w:r>
  </w:p>
  <w:bookmarkEnd w:id="6"/>
  <w:p w:rsidR="00773C2F" w:rsidRDefault="00773C2F" w:rsidP="0077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2F" w:rsidRDefault="00773C2F" w:rsidP="00773C2F">
      <w:pPr>
        <w:spacing w:after="0" w:line="240" w:lineRule="auto"/>
      </w:pPr>
      <w:r>
        <w:separator/>
      </w:r>
    </w:p>
  </w:footnote>
  <w:footnote w:type="continuationSeparator" w:id="0">
    <w:p w:rsidR="00773C2F" w:rsidRDefault="00773C2F" w:rsidP="00773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A5" w:rsidRDefault="001A38A5" w:rsidP="001A38A5">
    <w:pPr>
      <w:pStyle w:val="Header"/>
      <w:jc w:val="center"/>
      <w:rPr>
        <w:rFonts w:ascii="Arial" w:hAnsi="Arial" w:cs="Arial"/>
        <w:color w:val="000000"/>
        <w:sz w:val="20"/>
      </w:rPr>
    </w:pPr>
    <w:bookmarkStart w:id="1" w:name="TITUS1HeaderEvenPages"/>
    <w:r>
      <w:rPr>
        <w:rFonts w:ascii="Arial" w:hAnsi="Arial" w:cs="Arial"/>
        <w:color w:val="000000"/>
        <w:sz w:val="20"/>
      </w:rPr>
      <w:t>THALES GROUP INTERNAL</w:t>
    </w:r>
  </w:p>
  <w:p w:rsidR="00773C2F" w:rsidRDefault="001A38A5" w:rsidP="001A38A5">
    <w:pPr>
      <w:pStyle w:val="Header"/>
      <w:jc w:val="center"/>
      <w:rPr>
        <w:rFonts w:ascii="Arial" w:hAnsi="Arial" w:cs="Arial"/>
        <w:color w:val="000000"/>
        <w:sz w:val="20"/>
      </w:rPr>
    </w:pPr>
    <w:r>
      <w:rPr>
        <w:rFonts w:ascii="Arial" w:hAnsi="Arial" w:cs="Arial"/>
        <w:color w:val="000000"/>
        <w:sz w:val="20"/>
      </w:rPr>
      <w:t> </w:t>
    </w:r>
  </w:p>
  <w:bookmarkEnd w:id="1"/>
  <w:p w:rsidR="00773C2F" w:rsidRDefault="00773C2F" w:rsidP="00773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A5" w:rsidRDefault="001A38A5" w:rsidP="001A38A5">
    <w:pPr>
      <w:pStyle w:val="Header"/>
      <w:jc w:val="center"/>
      <w:rPr>
        <w:rFonts w:ascii="Arial" w:hAnsi="Arial" w:cs="Arial"/>
        <w:color w:val="000000"/>
        <w:sz w:val="20"/>
      </w:rPr>
    </w:pPr>
    <w:bookmarkStart w:id="2" w:name="TITUS1HeaderPrimary"/>
    <w:r>
      <w:rPr>
        <w:rFonts w:ascii="Arial" w:hAnsi="Arial" w:cs="Arial"/>
        <w:color w:val="000000"/>
        <w:sz w:val="20"/>
      </w:rPr>
      <w:t>THALES GROUP INTERNAL</w:t>
    </w:r>
  </w:p>
  <w:p w:rsidR="00773C2F" w:rsidRDefault="001A38A5" w:rsidP="001A38A5">
    <w:pPr>
      <w:pStyle w:val="Header"/>
      <w:jc w:val="center"/>
      <w:rPr>
        <w:rFonts w:ascii="Arial" w:hAnsi="Arial" w:cs="Arial"/>
        <w:color w:val="000000"/>
        <w:sz w:val="20"/>
      </w:rPr>
    </w:pPr>
    <w:r>
      <w:rPr>
        <w:rFonts w:ascii="Arial" w:hAnsi="Arial" w:cs="Arial"/>
        <w:color w:val="000000"/>
        <w:sz w:val="20"/>
      </w:rPr>
      <w:t> </w:t>
    </w:r>
  </w:p>
  <w:bookmarkEnd w:id="2"/>
  <w:p w:rsidR="00773C2F" w:rsidRDefault="00773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A5" w:rsidRDefault="001A38A5" w:rsidP="001A38A5">
    <w:pPr>
      <w:pStyle w:val="Header"/>
      <w:jc w:val="center"/>
      <w:rPr>
        <w:rFonts w:ascii="Arial" w:hAnsi="Arial" w:cs="Arial"/>
        <w:color w:val="000000"/>
        <w:sz w:val="20"/>
      </w:rPr>
    </w:pPr>
    <w:bookmarkStart w:id="5" w:name="TITUS1HeaderFirstPage"/>
    <w:r>
      <w:rPr>
        <w:rFonts w:ascii="Arial" w:hAnsi="Arial" w:cs="Arial"/>
        <w:color w:val="000000"/>
        <w:sz w:val="20"/>
      </w:rPr>
      <w:t>THALES GROUP INTERNAL</w:t>
    </w:r>
  </w:p>
  <w:p w:rsidR="00773C2F" w:rsidRDefault="001A38A5" w:rsidP="001A38A5">
    <w:pPr>
      <w:pStyle w:val="Header"/>
      <w:jc w:val="center"/>
      <w:rPr>
        <w:rFonts w:ascii="Arial" w:hAnsi="Arial" w:cs="Arial"/>
        <w:color w:val="000000"/>
        <w:sz w:val="20"/>
      </w:rPr>
    </w:pPr>
    <w:r>
      <w:rPr>
        <w:rFonts w:ascii="Arial" w:hAnsi="Arial" w:cs="Arial"/>
        <w:color w:val="000000"/>
        <w:sz w:val="20"/>
      </w:rPr>
      <w:t> </w:t>
    </w:r>
  </w:p>
  <w:bookmarkEnd w:id="5"/>
  <w:p w:rsidR="00773C2F" w:rsidRDefault="00773C2F" w:rsidP="0077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3F4A"/>
    <w:multiLevelType w:val="hybridMultilevel"/>
    <w:tmpl w:val="854A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B48C9"/>
    <w:multiLevelType w:val="hybridMultilevel"/>
    <w:tmpl w:val="84820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8E"/>
    <w:rsid w:val="001A38A5"/>
    <w:rsid w:val="0060718E"/>
    <w:rsid w:val="00681BCB"/>
    <w:rsid w:val="00726803"/>
    <w:rsid w:val="0077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539F"/>
  <w15:chartTrackingRefBased/>
  <w15:docId w15:val="{8C3A87D9-14A1-4A1D-87BA-808A261C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18E"/>
    <w:rPr>
      <w:color w:val="0563C1" w:themeColor="hyperlink"/>
      <w:u w:val="single"/>
    </w:rPr>
  </w:style>
  <w:style w:type="paragraph" w:styleId="ListParagraph">
    <w:name w:val="List Paragraph"/>
    <w:basedOn w:val="Normal"/>
    <w:uiPriority w:val="34"/>
    <w:qFormat/>
    <w:rsid w:val="0060718E"/>
    <w:pPr>
      <w:ind w:left="720"/>
      <w:contextualSpacing/>
    </w:pPr>
  </w:style>
  <w:style w:type="paragraph" w:styleId="Header">
    <w:name w:val="header"/>
    <w:basedOn w:val="Normal"/>
    <w:link w:val="HeaderChar"/>
    <w:uiPriority w:val="99"/>
    <w:unhideWhenUsed/>
    <w:rsid w:val="0077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2F"/>
  </w:style>
  <w:style w:type="paragraph" w:styleId="Footer">
    <w:name w:val="footer"/>
    <w:basedOn w:val="Normal"/>
    <w:link w:val="FooterChar"/>
    <w:uiPriority w:val="99"/>
    <w:unhideWhenUsed/>
    <w:rsid w:val="0077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7755">
      <w:bodyDiv w:val="1"/>
      <w:marLeft w:val="0"/>
      <w:marRight w:val="0"/>
      <w:marTop w:val="0"/>
      <w:marBottom w:val="0"/>
      <w:divBdr>
        <w:top w:val="none" w:sz="0" w:space="0" w:color="auto"/>
        <w:left w:val="none" w:sz="0" w:space="0" w:color="auto"/>
        <w:bottom w:val="none" w:sz="0" w:space="0" w:color="auto"/>
        <w:right w:val="none" w:sz="0" w:space="0" w:color="auto"/>
      </w:divBdr>
    </w:div>
    <w:div w:id="1938370620">
      <w:bodyDiv w:val="1"/>
      <w:marLeft w:val="0"/>
      <w:marRight w:val="0"/>
      <w:marTop w:val="0"/>
      <w:marBottom w:val="0"/>
      <w:divBdr>
        <w:top w:val="none" w:sz="0" w:space="0" w:color="auto"/>
        <w:left w:val="none" w:sz="0" w:space="0" w:color="auto"/>
        <w:bottom w:val="none" w:sz="0" w:space="0" w:color="auto"/>
        <w:right w:val="none" w:sz="0" w:space="0" w:color="auto"/>
      </w:divBdr>
      <w:divsChild>
        <w:div w:id="195974123">
          <w:marLeft w:val="360"/>
          <w:marRight w:val="0"/>
          <w:marTop w:val="200"/>
          <w:marBottom w:val="0"/>
          <w:divBdr>
            <w:top w:val="none" w:sz="0" w:space="0" w:color="auto"/>
            <w:left w:val="none" w:sz="0" w:space="0" w:color="auto"/>
            <w:bottom w:val="none" w:sz="0" w:space="0" w:color="auto"/>
            <w:right w:val="none" w:sz="0" w:space="0" w:color="auto"/>
          </w:divBdr>
        </w:div>
        <w:div w:id="52122980">
          <w:marLeft w:val="360"/>
          <w:marRight w:val="0"/>
          <w:marTop w:val="200"/>
          <w:marBottom w:val="0"/>
          <w:divBdr>
            <w:top w:val="none" w:sz="0" w:space="0" w:color="auto"/>
            <w:left w:val="none" w:sz="0" w:space="0" w:color="auto"/>
            <w:bottom w:val="none" w:sz="0" w:space="0" w:color="auto"/>
            <w:right w:val="none" w:sz="0" w:space="0" w:color="auto"/>
          </w:divBdr>
        </w:div>
        <w:div w:id="677536599">
          <w:marLeft w:val="360"/>
          <w:marRight w:val="0"/>
          <w:marTop w:val="200"/>
          <w:marBottom w:val="0"/>
          <w:divBdr>
            <w:top w:val="none" w:sz="0" w:space="0" w:color="auto"/>
            <w:left w:val="none" w:sz="0" w:space="0" w:color="auto"/>
            <w:bottom w:val="none" w:sz="0" w:space="0" w:color="auto"/>
            <w:right w:val="none" w:sz="0" w:space="0" w:color="auto"/>
          </w:divBdr>
        </w:div>
        <w:div w:id="105317008">
          <w:marLeft w:val="360"/>
          <w:marRight w:val="0"/>
          <w:marTop w:val="200"/>
          <w:marBottom w:val="0"/>
          <w:divBdr>
            <w:top w:val="none" w:sz="0" w:space="0" w:color="auto"/>
            <w:left w:val="none" w:sz="0" w:space="0" w:color="auto"/>
            <w:bottom w:val="none" w:sz="0" w:space="0" w:color="auto"/>
            <w:right w:val="none" w:sz="0" w:space="0" w:color="auto"/>
          </w:divBdr>
        </w:div>
        <w:div w:id="1181165878">
          <w:marLeft w:val="360"/>
          <w:marRight w:val="0"/>
          <w:marTop w:val="200"/>
          <w:marBottom w:val="0"/>
          <w:divBdr>
            <w:top w:val="none" w:sz="0" w:space="0" w:color="auto"/>
            <w:left w:val="none" w:sz="0" w:space="0" w:color="auto"/>
            <w:bottom w:val="none" w:sz="0" w:space="0" w:color="auto"/>
            <w:right w:val="none" w:sz="0" w:space="0" w:color="auto"/>
          </w:divBdr>
        </w:div>
        <w:div w:id="1207839543">
          <w:marLeft w:val="360"/>
          <w:marRight w:val="0"/>
          <w:marTop w:val="200"/>
          <w:marBottom w:val="0"/>
          <w:divBdr>
            <w:top w:val="none" w:sz="0" w:space="0" w:color="auto"/>
            <w:left w:val="none" w:sz="0" w:space="0" w:color="auto"/>
            <w:bottom w:val="none" w:sz="0" w:space="0" w:color="auto"/>
            <w:right w:val="none" w:sz="0" w:space="0" w:color="auto"/>
          </w:divBdr>
        </w:div>
        <w:div w:id="275407264">
          <w:marLeft w:val="360"/>
          <w:marRight w:val="0"/>
          <w:marTop w:val="200"/>
          <w:marBottom w:val="0"/>
          <w:divBdr>
            <w:top w:val="none" w:sz="0" w:space="0" w:color="auto"/>
            <w:left w:val="none" w:sz="0" w:space="0" w:color="auto"/>
            <w:bottom w:val="none" w:sz="0" w:space="0" w:color="auto"/>
            <w:right w:val="none" w:sz="0" w:space="0" w:color="auto"/>
          </w:divBdr>
        </w:div>
        <w:div w:id="284780253">
          <w:marLeft w:val="360"/>
          <w:marRight w:val="0"/>
          <w:marTop w:val="200"/>
          <w:marBottom w:val="0"/>
          <w:divBdr>
            <w:top w:val="none" w:sz="0" w:space="0" w:color="auto"/>
            <w:left w:val="none" w:sz="0" w:space="0" w:color="auto"/>
            <w:bottom w:val="none" w:sz="0" w:space="0" w:color="auto"/>
            <w:right w:val="none" w:sz="0" w:space="0" w:color="auto"/>
          </w:divBdr>
        </w:div>
        <w:div w:id="828013551">
          <w:marLeft w:val="360"/>
          <w:marRight w:val="0"/>
          <w:marTop w:val="200"/>
          <w:marBottom w:val="0"/>
          <w:divBdr>
            <w:top w:val="none" w:sz="0" w:space="0" w:color="auto"/>
            <w:left w:val="none" w:sz="0" w:space="0" w:color="auto"/>
            <w:bottom w:val="none" w:sz="0" w:space="0" w:color="auto"/>
            <w:right w:val="none" w:sz="0" w:space="0" w:color="auto"/>
          </w:divBdr>
        </w:div>
        <w:div w:id="1315524407">
          <w:marLeft w:val="360"/>
          <w:marRight w:val="0"/>
          <w:marTop w:val="200"/>
          <w:marBottom w:val="0"/>
          <w:divBdr>
            <w:top w:val="none" w:sz="0" w:space="0" w:color="auto"/>
            <w:left w:val="none" w:sz="0" w:space="0" w:color="auto"/>
            <w:bottom w:val="none" w:sz="0" w:space="0" w:color="auto"/>
            <w:right w:val="none" w:sz="0" w:space="0" w:color="auto"/>
          </w:divBdr>
        </w:div>
        <w:div w:id="143276173">
          <w:marLeft w:val="360"/>
          <w:marRight w:val="0"/>
          <w:marTop w:val="200"/>
          <w:marBottom w:val="0"/>
          <w:divBdr>
            <w:top w:val="none" w:sz="0" w:space="0" w:color="auto"/>
            <w:left w:val="none" w:sz="0" w:space="0" w:color="auto"/>
            <w:bottom w:val="none" w:sz="0" w:space="0" w:color="auto"/>
            <w:right w:val="none" w:sz="0" w:space="0" w:color="auto"/>
          </w:divBdr>
        </w:div>
        <w:div w:id="1350528144">
          <w:marLeft w:val="1080"/>
          <w:marRight w:val="0"/>
          <w:marTop w:val="100"/>
          <w:marBottom w:val="0"/>
          <w:divBdr>
            <w:top w:val="none" w:sz="0" w:space="0" w:color="auto"/>
            <w:left w:val="none" w:sz="0" w:space="0" w:color="auto"/>
            <w:bottom w:val="none" w:sz="0" w:space="0" w:color="auto"/>
            <w:right w:val="none" w:sz="0" w:space="0" w:color="auto"/>
          </w:divBdr>
        </w:div>
        <w:div w:id="1634824283">
          <w:marLeft w:val="1080"/>
          <w:marRight w:val="0"/>
          <w:marTop w:val="100"/>
          <w:marBottom w:val="0"/>
          <w:divBdr>
            <w:top w:val="none" w:sz="0" w:space="0" w:color="auto"/>
            <w:left w:val="none" w:sz="0" w:space="0" w:color="auto"/>
            <w:bottom w:val="none" w:sz="0" w:space="0" w:color="auto"/>
            <w:right w:val="none" w:sz="0" w:space="0" w:color="auto"/>
          </w:divBdr>
        </w:div>
        <w:div w:id="2939474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1213</TotalTime>
  <Pages>1</Pages>
  <Words>380</Words>
  <Characters>2098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Thales UK</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Kurup, Shalaka</dc:creator>
  <cp:keywords/>
  <dc:description/>
  <cp:lastModifiedBy>Kurup, Shalaka</cp:lastModifiedBy>
  <cp:revision>2</cp:revision>
  <dcterms:created xsi:type="dcterms:W3CDTF">2021-04-15T12:43:00Z</dcterms:created>
  <dcterms:modified xsi:type="dcterms:W3CDTF">2021-04-16T08:56:00Z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b00ef7ca-495d-4d7a-a510-0af80521dd4b</vt:lpwstr>
  </property>
  <property fmtid="{D5CDD505-2E9C-101B-9397-08002B2CF9AE}" pid="3" name="THALESClassification">
    <vt:lpwstr>TCA</vt:lpwstr>
  </property>
  <property fmtid="{D5CDD505-2E9C-101B-9397-08002B2CF9AE}" pid="4" name="Sensitivity">
    <vt:lpwstr>TGI</vt:lpwstr>
  </property>
  <property fmtid="{D5CDD505-2E9C-101B-9397-08002B2CF9AE}" pid="5" name="PD">
    <vt:lpwstr>PDN</vt:lpwstr>
  </property>
  <property fmtid="{D5CDD505-2E9C-101B-9397-08002B2CF9AE}" pid="6" name="EC">
    <vt:lpwstr>ECNA</vt:lpwstr>
  </property>
  <property fmtid="{D5CDD505-2E9C-101B-9397-08002B2CF9AE}" pid="7" name="LC">
    <vt:lpwstr>LCNA</vt:lpwstr>
  </property>
  <property fmtid="{D5CDD505-2E9C-101B-9397-08002B2CF9AE}" pid="8" name="AppHF">
    <vt:lpwstr>AHFY</vt:lpwstr>
  </property>
</Properties>
</file>